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2523" w14:textId="77777777"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32BC5087" wp14:editId="7D6A0D80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E99BD" w14:textId="77777777" w:rsidR="00237BDE" w:rsidRDefault="00237BDE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14:paraId="618CC266" w14:textId="2A836E07" w:rsidR="00237BDE" w:rsidRPr="007F63B7" w:rsidRDefault="00434277" w:rsidP="00D434AF">
      <w:pPr>
        <w:spacing w:before="150" w:after="0" w:line="240" w:lineRule="auto"/>
        <w:jc w:val="both"/>
        <w:rPr>
          <w:rFonts w:eastAsia="Times New Roman" w:cstheme="minorHAnsi"/>
          <w:b/>
          <w:bCs/>
          <w:color w:val="000000"/>
          <w:sz w:val="32"/>
          <w:szCs w:val="32"/>
          <w:lang w:val="en-GB" w:eastAsia="en-BW"/>
        </w:rPr>
      </w:pPr>
      <w:r w:rsidRPr="007F63B7">
        <w:rPr>
          <w:rFonts w:eastAsia="Times New Roman" w:cstheme="minorHAnsi"/>
          <w:b/>
          <w:bCs/>
          <w:color w:val="000000"/>
          <w:sz w:val="32"/>
          <w:szCs w:val="32"/>
          <w:lang w:val="en-GB" w:eastAsia="en-BW"/>
        </w:rPr>
        <w:t xml:space="preserve">HOW TO </w:t>
      </w:r>
      <w:r w:rsidR="008E7FA1" w:rsidRPr="007F63B7">
        <w:rPr>
          <w:rFonts w:eastAsia="Times New Roman" w:cstheme="minorHAnsi"/>
          <w:b/>
          <w:bCs/>
          <w:color w:val="000000"/>
          <w:sz w:val="32"/>
          <w:szCs w:val="32"/>
          <w:lang w:val="en-GB" w:eastAsia="en-BW"/>
        </w:rPr>
        <w:t>LODGE A</w:t>
      </w:r>
      <w:r w:rsidR="00F04921" w:rsidRPr="007F63B7">
        <w:rPr>
          <w:rFonts w:eastAsia="Times New Roman" w:cstheme="minorHAnsi"/>
          <w:b/>
          <w:bCs/>
          <w:color w:val="000000"/>
          <w:sz w:val="32"/>
          <w:szCs w:val="32"/>
          <w:lang w:val="en-GB" w:eastAsia="en-BW"/>
        </w:rPr>
        <w:t xml:space="preserve">N </w:t>
      </w:r>
      <w:r w:rsidR="002665DE" w:rsidRPr="007F63B7">
        <w:rPr>
          <w:rFonts w:eastAsia="Times New Roman" w:cstheme="minorHAnsi"/>
          <w:b/>
          <w:bCs/>
          <w:color w:val="000000"/>
          <w:sz w:val="32"/>
          <w:szCs w:val="32"/>
          <w:lang w:val="en-GB" w:eastAsia="en-BW"/>
        </w:rPr>
        <w:t>A</w:t>
      </w:r>
      <w:r w:rsidR="003F586B" w:rsidRPr="007F63B7">
        <w:rPr>
          <w:rFonts w:eastAsia="Times New Roman" w:cstheme="minorHAnsi"/>
          <w:b/>
          <w:bCs/>
          <w:color w:val="000000"/>
          <w:sz w:val="32"/>
          <w:szCs w:val="32"/>
          <w:lang w:val="en-GB" w:eastAsia="en-BW"/>
        </w:rPr>
        <w:t>CQUISITION/REDEMPTION OF SHARES</w:t>
      </w:r>
    </w:p>
    <w:p w14:paraId="0F20C23D" w14:textId="6C39C811" w:rsidR="003F586B" w:rsidRDefault="00F25110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Acquisition of Shares: An acquisition of shares is issued when the company takes over the shares from an existing shareholder(s) for later re-distribution. </w:t>
      </w:r>
    </w:p>
    <w:p w14:paraId="1F7B20AC" w14:textId="25265E1C" w:rsidR="00F25110" w:rsidRDefault="00F25110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>Redemption of Shares: A company has issued preference shares to an investor with the understanding that the investor will cash in</w:t>
      </w:r>
      <w:r w:rsidR="007F63B7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 on their investment</w:t>
      </w: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 after an agreed period. The redemption of shares is lodged at the end of the period and the shares that had been issued to the investor are cancelled. </w:t>
      </w:r>
    </w:p>
    <w:p w14:paraId="25A5C080" w14:textId="77777777" w:rsidR="002F1D1F" w:rsidRDefault="002F1D1F" w:rsidP="002F1D1F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62D6A545" w14:textId="77777777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Log onto </w:t>
      </w:r>
      <w:hyperlink r:id="rId6" w:history="1">
        <w:r w:rsidRPr="001D4663">
          <w:rPr>
            <w:rStyle w:val="Hyperlink"/>
            <w:rFonts w:asciiTheme="minorHAnsi" w:hAnsiTheme="minorHAnsi" w:cstheme="minorHAnsi"/>
            <w:sz w:val="32"/>
            <w:szCs w:val="32"/>
            <w:lang w:val="en-GB"/>
          </w:rPr>
          <w:t>www.cipa.co.bw</w:t>
        </w:r>
      </w:hyperlink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and select the company from the dashboard. </w:t>
      </w:r>
    </w:p>
    <w:p w14:paraId="5F8F3FCD" w14:textId="77777777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on FILING AND MAINTENANCE. </w:t>
      </w:r>
    </w:p>
    <w:p w14:paraId="1DA733AF" w14:textId="77777777" w:rsidR="00F25110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</w:t>
      </w:r>
      <w:r w:rsidR="00F25110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ACQUISITION OR REDEMPTION OF SHARES. </w:t>
      </w:r>
    </w:p>
    <w:p w14:paraId="73F3469E" w14:textId="77777777" w:rsidR="007F63B7" w:rsidRDefault="00F25110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Select whether the shares are being </w:t>
      </w:r>
      <w:r w:rsidR="007F63B7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Acquired or Redeemed. </w:t>
      </w:r>
    </w:p>
    <w:p w14:paraId="47A6B6C3" w14:textId="77777777" w:rsidR="007F63B7" w:rsidRDefault="007F63B7" w:rsidP="007F63B7">
      <w:pPr>
        <w:pStyle w:val="NormalWeb"/>
        <w:spacing w:before="15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</w:p>
    <w:p w14:paraId="5A336B49" w14:textId="52B53ED2" w:rsidR="007F63B7" w:rsidRPr="007F63B7" w:rsidRDefault="007F63B7" w:rsidP="007F63B7">
      <w:pPr>
        <w:pStyle w:val="NormalWeb"/>
        <w:spacing w:before="15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  <w:lang w:val="en-GB"/>
        </w:rPr>
      </w:pPr>
      <w:r w:rsidRPr="007F63B7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  <w:lang w:val="en-GB"/>
        </w:rPr>
        <w:t>Acquisition</w:t>
      </w:r>
    </w:p>
    <w:p w14:paraId="158F7F5B" w14:textId="57EF46DA" w:rsidR="002F1D1F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Provide the total number of shares being acquired. </w:t>
      </w:r>
    </w:p>
    <w:p w14:paraId="117DEBB2" w14:textId="685C8CCB" w:rsid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Provide the date of acquisition. </w:t>
      </w:r>
    </w:p>
    <w:p w14:paraId="41923B36" w14:textId="3A7BA0D5" w:rsid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Select whether the shares are being cancelled. </w:t>
      </w:r>
    </w:p>
    <w:p w14:paraId="33D5DAF4" w14:textId="56B43DBD" w:rsid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Cease any shareholder who ceases to be a shareholder. </w:t>
      </w:r>
    </w:p>
    <w:p w14:paraId="73E37C0E" w14:textId="77777777" w:rsid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Change the total number of shares if any are to be changed as part of the acquisition. </w:t>
      </w:r>
    </w:p>
    <w:p w14:paraId="7B5F7CE9" w14:textId="3654F262" w:rsidR="007F63B7" w:rsidRP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 w:rsidRPr="007F63B7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Tick the declaration </w:t>
      </w:r>
      <w:r w:rsidRPr="007F63B7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to confirm that you are authorised to submit this application. </w:t>
      </w:r>
    </w:p>
    <w:p w14:paraId="77879BE6" w14:textId="2807CF72" w:rsidR="007F63B7" w:rsidRPr="007F63B7" w:rsidRDefault="007F63B7" w:rsidP="007F63B7">
      <w:pPr>
        <w:pStyle w:val="NormalWeb"/>
        <w:spacing w:before="15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  <w:lang w:val="en-GB"/>
        </w:rPr>
      </w:pPr>
      <w:r w:rsidRPr="007F63B7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  <w:lang w:val="en-GB"/>
        </w:rPr>
        <w:lastRenderedPageBreak/>
        <w:t xml:space="preserve">Redemption </w:t>
      </w:r>
    </w:p>
    <w:p w14:paraId="4039A9B3" w14:textId="29155113" w:rsid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Provide the total number of shares being 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redeemed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7F300008" w14:textId="7D43B77C" w:rsid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Provide the date of 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redemption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54EF0833" w14:textId="77777777" w:rsid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Cease any shareholder who ceases to be a shareholder. </w:t>
      </w:r>
    </w:p>
    <w:p w14:paraId="711A74C0" w14:textId="2523581B" w:rsid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Change the total number of shares if any are to be changed as part of the 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redemption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1EFDDCFE" w14:textId="4BF51E87" w:rsidR="007F63B7" w:rsidRDefault="007F63B7" w:rsidP="007F63B7">
      <w:pPr>
        <w:pStyle w:val="NormalWeb"/>
        <w:numPr>
          <w:ilvl w:val="0"/>
          <w:numId w:val="19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 w:rsidRPr="007F63B7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Tick the declaration to confirm that you are authorised to submit this application. </w:t>
      </w:r>
    </w:p>
    <w:p w14:paraId="15A11064" w14:textId="5EFE7CA8" w:rsidR="007F63B7" w:rsidRDefault="007F63B7" w:rsidP="007F63B7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</w:p>
    <w:p w14:paraId="640118F0" w14:textId="017EAB59" w:rsidR="007F63B7" w:rsidRPr="007F63B7" w:rsidRDefault="007F63B7" w:rsidP="007F63B7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The services are automatically approved </w:t>
      </w:r>
      <w:r w:rsidR="002037C6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upon successful filing. </w:t>
      </w:r>
    </w:p>
    <w:p w14:paraId="7FA687FF" w14:textId="77777777" w:rsidR="00405DC6" w:rsidRDefault="00405DC6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sectPr w:rsidR="00405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76901"/>
    <w:multiLevelType w:val="multilevel"/>
    <w:tmpl w:val="160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65210"/>
    <w:multiLevelType w:val="hybridMultilevel"/>
    <w:tmpl w:val="B792F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1874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783A"/>
    <w:multiLevelType w:val="hybridMultilevel"/>
    <w:tmpl w:val="2E0E1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599D"/>
    <w:multiLevelType w:val="multilevel"/>
    <w:tmpl w:val="2EC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F3D13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D651C1"/>
    <w:multiLevelType w:val="multilevel"/>
    <w:tmpl w:val="3C7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B1BE5"/>
    <w:multiLevelType w:val="hybridMultilevel"/>
    <w:tmpl w:val="C0425EA0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5CB9"/>
    <w:multiLevelType w:val="multilevel"/>
    <w:tmpl w:val="D40EA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C23FA"/>
    <w:multiLevelType w:val="hybridMultilevel"/>
    <w:tmpl w:val="E10C1940"/>
    <w:lvl w:ilvl="0" w:tplc="2000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5" w15:restartNumberingAfterBreak="0">
    <w:nsid w:val="747D4222"/>
    <w:multiLevelType w:val="multilevel"/>
    <w:tmpl w:val="E32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6798F"/>
    <w:multiLevelType w:val="hybridMultilevel"/>
    <w:tmpl w:val="7A1611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F439A"/>
    <w:multiLevelType w:val="multilevel"/>
    <w:tmpl w:val="497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"/>
  </w:num>
  <w:num w:numId="12">
    <w:abstractNumId w:val="3"/>
  </w:num>
  <w:num w:numId="13">
    <w:abstractNumId w:val="17"/>
  </w:num>
  <w:num w:numId="14">
    <w:abstractNumId w:val="4"/>
  </w:num>
  <w:num w:numId="15">
    <w:abstractNumId w:val="12"/>
  </w:num>
  <w:num w:numId="16">
    <w:abstractNumId w:val="15"/>
  </w:num>
  <w:num w:numId="17">
    <w:abstractNumId w:val="1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62F68"/>
    <w:rsid w:val="000E4333"/>
    <w:rsid w:val="001117DE"/>
    <w:rsid w:val="00124F3B"/>
    <w:rsid w:val="0013008F"/>
    <w:rsid w:val="001D7AFA"/>
    <w:rsid w:val="00201CD1"/>
    <w:rsid w:val="002037C6"/>
    <w:rsid w:val="00204643"/>
    <w:rsid w:val="002229FA"/>
    <w:rsid w:val="00237BDE"/>
    <w:rsid w:val="002665DE"/>
    <w:rsid w:val="00272236"/>
    <w:rsid w:val="002852E2"/>
    <w:rsid w:val="00286B81"/>
    <w:rsid w:val="002F1D1F"/>
    <w:rsid w:val="002F2A85"/>
    <w:rsid w:val="00305CBB"/>
    <w:rsid w:val="003213E3"/>
    <w:rsid w:val="00347C1D"/>
    <w:rsid w:val="00371FEC"/>
    <w:rsid w:val="003A33C2"/>
    <w:rsid w:val="003F4FB3"/>
    <w:rsid w:val="003F586B"/>
    <w:rsid w:val="004056AF"/>
    <w:rsid w:val="00405DC6"/>
    <w:rsid w:val="00434277"/>
    <w:rsid w:val="0048629D"/>
    <w:rsid w:val="004A3CBF"/>
    <w:rsid w:val="0050616C"/>
    <w:rsid w:val="005339A8"/>
    <w:rsid w:val="005F4C0E"/>
    <w:rsid w:val="00654A54"/>
    <w:rsid w:val="0065549A"/>
    <w:rsid w:val="0067136E"/>
    <w:rsid w:val="00684BC7"/>
    <w:rsid w:val="006B7AA2"/>
    <w:rsid w:val="006D0BE2"/>
    <w:rsid w:val="007668DC"/>
    <w:rsid w:val="007F313A"/>
    <w:rsid w:val="007F63B7"/>
    <w:rsid w:val="0081048F"/>
    <w:rsid w:val="00816CE4"/>
    <w:rsid w:val="008216DB"/>
    <w:rsid w:val="00824ABB"/>
    <w:rsid w:val="008465BF"/>
    <w:rsid w:val="00875A29"/>
    <w:rsid w:val="008B380E"/>
    <w:rsid w:val="008E7FA1"/>
    <w:rsid w:val="008F49A2"/>
    <w:rsid w:val="009A3579"/>
    <w:rsid w:val="009D66CD"/>
    <w:rsid w:val="00A15793"/>
    <w:rsid w:val="00A968D3"/>
    <w:rsid w:val="00AC16D8"/>
    <w:rsid w:val="00AD5B5F"/>
    <w:rsid w:val="00AF5072"/>
    <w:rsid w:val="00B21B65"/>
    <w:rsid w:val="00B5620D"/>
    <w:rsid w:val="00BD421A"/>
    <w:rsid w:val="00C03ED6"/>
    <w:rsid w:val="00C50121"/>
    <w:rsid w:val="00C667FD"/>
    <w:rsid w:val="00CB06D5"/>
    <w:rsid w:val="00CD45C7"/>
    <w:rsid w:val="00D434AF"/>
    <w:rsid w:val="00D77CF2"/>
    <w:rsid w:val="00D92F89"/>
    <w:rsid w:val="00DD31A4"/>
    <w:rsid w:val="00E1250F"/>
    <w:rsid w:val="00E56457"/>
    <w:rsid w:val="00E7243E"/>
    <w:rsid w:val="00EA0211"/>
    <w:rsid w:val="00EB5A8D"/>
    <w:rsid w:val="00EF0DBC"/>
    <w:rsid w:val="00F01C85"/>
    <w:rsid w:val="00F04921"/>
    <w:rsid w:val="00F1083D"/>
    <w:rsid w:val="00F25110"/>
    <w:rsid w:val="00F35F90"/>
    <w:rsid w:val="00F86EF9"/>
    <w:rsid w:val="00F94E8B"/>
    <w:rsid w:val="00FB02FA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4E95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B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W"/>
    </w:rPr>
  </w:style>
  <w:style w:type="character" w:styleId="UnresolvedMention">
    <w:name w:val="Unresolved Mention"/>
    <w:basedOn w:val="DefaultParagraphFont"/>
    <w:uiPriority w:val="99"/>
    <w:semiHidden/>
    <w:unhideWhenUsed/>
    <w:rsid w:val="00816C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49A"/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character" w:styleId="Emphasis">
    <w:name w:val="Emphasis"/>
    <w:basedOn w:val="DefaultParagraphFont"/>
    <w:uiPriority w:val="20"/>
    <w:qFormat/>
    <w:rsid w:val="0065549A"/>
    <w:rPr>
      <w:i/>
      <w:iCs/>
    </w:rPr>
  </w:style>
  <w:style w:type="character" w:styleId="Strong">
    <w:name w:val="Strong"/>
    <w:basedOn w:val="DefaultParagraphFont"/>
    <w:uiPriority w:val="22"/>
    <w:qFormat/>
    <w:rsid w:val="006554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A8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3</cp:revision>
  <dcterms:created xsi:type="dcterms:W3CDTF">2020-05-25T07:15:00Z</dcterms:created>
  <dcterms:modified xsi:type="dcterms:W3CDTF">2020-05-25T07:37:00Z</dcterms:modified>
</cp:coreProperties>
</file>